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179" w14:textId="77777777" w:rsidR="00886B3A" w:rsidRDefault="00EC3F78">
      <w:pPr>
        <w:pStyle w:val="Tekstpodstawowy21"/>
        <w:tabs>
          <w:tab w:val="left" w:pos="709"/>
        </w:tabs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6a do SIWZ</w:t>
      </w:r>
    </w:p>
    <w:p w14:paraId="2BDAF74D" w14:textId="77777777" w:rsidR="00886B3A" w:rsidRDefault="00886B3A">
      <w:pPr>
        <w:pStyle w:val="Tekstpodstawowy21"/>
        <w:tabs>
          <w:tab w:val="left" w:pos="709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0A4DFE5F" w14:textId="77777777" w:rsidR="00886B3A" w:rsidRDefault="00886B3A">
      <w:pPr>
        <w:pStyle w:val="Tekstpodstawowy21"/>
        <w:tabs>
          <w:tab w:val="left" w:pos="709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D243B3B" w14:textId="77777777" w:rsidR="00886B3A" w:rsidRDefault="00EC3F78">
      <w:pPr>
        <w:pStyle w:val="Tekstpodstawowy21"/>
        <w:tabs>
          <w:tab w:val="left" w:pos="709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</w:t>
      </w:r>
    </w:p>
    <w:p w14:paraId="22013388" w14:textId="77777777" w:rsidR="00886B3A" w:rsidRDefault="00886B3A">
      <w:pPr>
        <w:pStyle w:val="Tekstpodstawowy21"/>
        <w:spacing w:after="120"/>
        <w:ind w:left="567"/>
        <w:rPr>
          <w:rFonts w:ascii="Arial" w:eastAsia="Arial" w:hAnsi="Arial" w:cs="Arial"/>
          <w:sz w:val="22"/>
          <w:szCs w:val="22"/>
        </w:rPr>
      </w:pPr>
    </w:p>
    <w:p w14:paraId="2322ADDE" w14:textId="77777777" w:rsidR="00886B3A" w:rsidRDefault="00EC3F78">
      <w:pPr>
        <w:pStyle w:val="Tekstpodstawowy21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ustala istotne dla stron postanowienia, które zostaną wprowadzone do treści zawieranych umów w sprawie zamówienia publicznego:</w:t>
      </w:r>
    </w:p>
    <w:p w14:paraId="0474DFBD" w14:textId="77777777" w:rsidR="00886B3A" w:rsidRDefault="00EC3F7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Rozliczenie za pobran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energi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odbywa</w:t>
      </w:r>
      <w:r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dzie według cen jednostkowych dla poszczególnych taryf przedło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onych </w:t>
      </w:r>
      <w:r>
        <w:rPr>
          <w:rFonts w:ascii="Arial" w:hAnsi="Arial" w:cs="Arial"/>
          <w:sz w:val="22"/>
          <w:szCs w:val="22"/>
        </w:rPr>
        <w:t>w ofercie Wykonawcy.</w:t>
      </w:r>
    </w:p>
    <w:p w14:paraId="12B81115" w14:textId="77777777" w:rsidR="00886B3A" w:rsidRDefault="00EC3F7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Rozliczenie za 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 usług dystrybucji odbywa</w:t>
      </w:r>
      <w:r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dzie według aktualnej taryfy dla usług dystrybucji energii elektrycznej Operatora Systemu Dystrybucji zatwierdzonej decyzj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Prezesa Urz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du Regulacji Energetyk</w:t>
      </w:r>
      <w:r>
        <w:rPr>
          <w:rFonts w:ascii="Arial" w:eastAsia="TimesNewRoman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A7407AE" w14:textId="77777777" w:rsidR="00886B3A" w:rsidRDefault="00EC3F7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Sprzeda</w:t>
      </w:r>
      <w:r>
        <w:rPr>
          <w:rFonts w:ascii="Arial" w:eastAsia="TimesNewRoman" w:hAnsi="Arial" w:cs="Arial"/>
          <w:sz w:val="22"/>
          <w:szCs w:val="22"/>
        </w:rPr>
        <w:t xml:space="preserve">ż </w:t>
      </w:r>
      <w:r>
        <w:rPr>
          <w:rFonts w:ascii="Arial" w:hAnsi="Arial" w:cs="Arial"/>
          <w:sz w:val="22"/>
          <w:szCs w:val="22"/>
        </w:rPr>
        <w:t>energii elektrycznej dla nowego punktu poboru nieobj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tego zał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cznikiem do umowy lub dla punktu, w którym nast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pi znacz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 przyrost mocy w zwi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zku z dokonan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rozbudow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, b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dzie dokonywana na podstawie zmiany przedmiotowego zał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cznika w formie aneksu bez </w:t>
      </w:r>
      <w:r>
        <w:rPr>
          <w:rFonts w:ascii="Arial" w:hAnsi="Arial" w:cs="Arial"/>
          <w:sz w:val="22"/>
          <w:szCs w:val="22"/>
        </w:rPr>
        <w:t>konieczno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renegocjowania warunków umowy.</w:t>
      </w:r>
    </w:p>
    <w:p w14:paraId="105768C5" w14:textId="77777777" w:rsidR="00886B3A" w:rsidRDefault="00EC3F7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Płatno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wynikaj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z wystawianych faktur VAT b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płatne w terminie 21 dni od daty ich wystawienia przelewem na rachunek bankowy wykonawcy wskazany na fakturze.</w:t>
      </w:r>
    </w:p>
    <w:p w14:paraId="045AF6C8" w14:textId="77777777" w:rsidR="00886B3A" w:rsidRDefault="00EC3F7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Ceny jednostkowe za energie elektryczn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okr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lone przez Wykonawc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w ofercie nie b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zmieniane w toku realizacji przedmiotu zamówienia. Wyjątek stanowią sytuacje opisane w rozdz. XXI pkt. 3 SIWZ.</w:t>
      </w:r>
    </w:p>
    <w:p w14:paraId="30BA0663" w14:textId="77777777" w:rsidR="00886B3A" w:rsidRDefault="00EC3F7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Strony postanawiaj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nie wymagaj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aktualizacji umowy w formie pisemnego aneksu:</w:t>
      </w:r>
    </w:p>
    <w:p w14:paraId="6B93D27D" w14:textId="77777777" w:rsidR="00886B3A" w:rsidRDefault="00EC3F78">
      <w:pPr>
        <w:tabs>
          <w:tab w:val="left" w:pos="28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zamiany stawki</w:t>
      </w:r>
      <w:r>
        <w:rPr>
          <w:rFonts w:ascii="Arial" w:hAnsi="Arial" w:cs="Arial"/>
          <w:sz w:val="22"/>
          <w:szCs w:val="22"/>
        </w:rPr>
        <w:t xml:space="preserve"> i opłat, wynikaj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z taryfy dla usług dystrybucji energii elektrycznej,</w:t>
      </w:r>
    </w:p>
    <w:p w14:paraId="20FEED0A" w14:textId="77777777" w:rsidR="00886B3A" w:rsidRDefault="00EC3F78">
      <w:pPr>
        <w:tabs>
          <w:tab w:val="left" w:pos="28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zmiana nr licznika,</w:t>
      </w:r>
    </w:p>
    <w:p w14:paraId="6ED85433" w14:textId="77777777" w:rsidR="00886B3A" w:rsidRDefault="00EC3F78">
      <w:pPr>
        <w:tabs>
          <w:tab w:val="left" w:pos="284"/>
        </w:tabs>
        <w:ind w:left="567" w:hanging="283"/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zmiana adresu do korespondencji.</w:t>
      </w:r>
    </w:p>
    <w:sectPr w:rsidR="00886B3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9D74" w14:textId="77777777" w:rsidR="00EC3F78" w:rsidRDefault="00EC3F78">
      <w:r>
        <w:separator/>
      </w:r>
    </w:p>
  </w:endnote>
  <w:endnote w:type="continuationSeparator" w:id="0">
    <w:p w14:paraId="20AC579F" w14:textId="77777777" w:rsidR="00EC3F78" w:rsidRDefault="00E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B06C" w14:textId="77777777" w:rsidR="00EC3F78" w:rsidRDefault="00EC3F78">
      <w:r>
        <w:separator/>
      </w:r>
    </w:p>
  </w:footnote>
  <w:footnote w:type="continuationSeparator" w:id="0">
    <w:p w14:paraId="6BBAEAA3" w14:textId="77777777" w:rsidR="00EC3F78" w:rsidRDefault="00EC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B7A0" w14:textId="77777777" w:rsidR="00886B3A" w:rsidRPr="00820BE8" w:rsidRDefault="00EC3F78">
    <w:pPr>
      <w:pStyle w:val="Nagwek"/>
      <w:rPr>
        <w:b/>
        <w:bCs/>
        <w:sz w:val="20"/>
        <w:szCs w:val="16"/>
      </w:rPr>
    </w:pPr>
    <w:r w:rsidRPr="00820BE8">
      <w:rPr>
        <w:rFonts w:ascii="Arial" w:hAnsi="Arial" w:cs="Arial"/>
        <w:b/>
        <w:bCs/>
        <w:sz w:val="20"/>
        <w:szCs w:val="16"/>
      </w:rPr>
      <w:t>NW.ZP-0</w:t>
    </w:r>
    <w:r w:rsidRPr="00820BE8">
      <w:rPr>
        <w:rFonts w:ascii="Arial" w:hAnsi="Arial" w:cs="Arial"/>
        <w:b/>
        <w:bCs/>
        <w:sz w:val="20"/>
        <w:szCs w:val="16"/>
      </w:rPr>
      <w:t>2</w:t>
    </w:r>
    <w:r w:rsidRPr="00820BE8">
      <w:rPr>
        <w:rFonts w:ascii="Arial" w:hAnsi="Arial" w:cs="Arial"/>
        <w:b/>
        <w:bCs/>
        <w:sz w:val="20"/>
        <w:szCs w:val="16"/>
      </w:rPr>
      <w:t>.20</w:t>
    </w:r>
    <w:r w:rsidRPr="00820BE8">
      <w:rPr>
        <w:rFonts w:ascii="Arial" w:hAnsi="Arial" w:cs="Arial"/>
        <w:b/>
        <w:bCs/>
        <w:sz w:val="20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3A"/>
    <w:rsid w:val="00820BE8"/>
    <w:rsid w:val="00886B3A"/>
    <w:rsid w:val="00E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8AAF"/>
  <w15:docId w15:val="{392BB456-7097-43CC-90A0-C32850DC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E1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3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3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3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3940E1"/>
    <w:pPr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3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Nowacki</dc:creator>
  <dc:description/>
  <cp:lastModifiedBy>Krystian Lamparski</cp:lastModifiedBy>
  <cp:revision>12</cp:revision>
  <dcterms:created xsi:type="dcterms:W3CDTF">2015-05-25T08:23:00Z</dcterms:created>
  <dcterms:modified xsi:type="dcterms:W3CDTF">2020-11-20T12:09:00Z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